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2C" w:rsidRDefault="00713D29">
      <w:r w:rsidRPr="00713D29">
        <w:rPr>
          <w:b/>
        </w:rPr>
        <w:t xml:space="preserve">Diagrama de barras para </w:t>
      </w:r>
      <w:proofErr w:type="gramStart"/>
      <w:r w:rsidRPr="00713D29">
        <w:rPr>
          <w:b/>
        </w:rPr>
        <w:t>la</w:t>
      </w:r>
      <w:proofErr w:type="gramEnd"/>
      <w:r w:rsidRPr="00713D29">
        <w:rPr>
          <w:b/>
        </w:rPr>
        <w:t xml:space="preserve"> variable color</w:t>
      </w:r>
      <w:r>
        <w:t>: Sobre unos ejes cartesiano se levantan tres barras de altura igual a la frecuencia absoluta correspondientes a los tres colores</w:t>
      </w:r>
    </w:p>
    <w:sectPr w:rsidR="001E612C" w:rsidSect="001E6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13D29"/>
    <w:rsid w:val="001E612C"/>
    <w:rsid w:val="0071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2017-05-18T10:05:00Z</dcterms:created>
  <dcterms:modified xsi:type="dcterms:W3CDTF">2017-05-18T10:07:00Z</dcterms:modified>
</cp:coreProperties>
</file>